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7D5B0F15" w:rsidR="00C176C5" w:rsidRPr="00FC3AD1" w:rsidRDefault="00FC3AD1" w:rsidP="008D381C">
      <w:pPr>
        <w:keepNext/>
        <w:spacing w:after="60"/>
        <w:jc w:val="both"/>
        <w:outlineLvl w:val="2"/>
        <w:rPr>
          <w:rFonts w:asciiTheme="minorHAnsi" w:hAnsiTheme="minorHAnsi" w:cstheme="minorHAnsi"/>
          <w:b/>
          <w:sz w:val="20"/>
        </w:rPr>
      </w:pPr>
      <w:r w:rsidRPr="00FC3AD1">
        <w:rPr>
          <w:rFonts w:asciiTheme="minorHAnsi" w:hAnsiTheme="minorHAnsi" w:cstheme="minorHAnsi"/>
          <w:b/>
          <w:sz w:val="20"/>
        </w:rPr>
        <w:t>Příloha 22</w:t>
      </w:r>
    </w:p>
    <w:p w14:paraId="295E9F0D" w14:textId="77777777" w:rsidR="00FC3AD1" w:rsidRPr="008D381C" w:rsidRDefault="00FC3AD1" w:rsidP="008D381C">
      <w:pPr>
        <w:keepNext/>
        <w:spacing w:after="60"/>
        <w:jc w:val="both"/>
        <w:outlineLvl w:val="2"/>
        <w:rPr>
          <w:rFonts w:asciiTheme="minorHAnsi" w:hAnsiTheme="minorHAnsi" w:cstheme="minorHAnsi"/>
          <w:sz w:val="20"/>
        </w:rPr>
      </w:pPr>
    </w:p>
    <w:p w14:paraId="0048D452" w14:textId="220F593C" w:rsidR="00C176C5" w:rsidRPr="008D381C" w:rsidRDefault="00C176C5" w:rsidP="00CB7CBF">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CB7CBF" w:rsidRPr="00CB7CBF">
        <w:rPr>
          <w:rFonts w:asciiTheme="minorHAnsi" w:hAnsiTheme="minorHAnsi" w:cstheme="minorHAnsi"/>
          <w:b/>
          <w:sz w:val="20"/>
        </w:rPr>
        <w:t>22/1, 1/7</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931" w:type="dxa"/>
        <w:jc w:val="center"/>
        <w:tblCellMar>
          <w:left w:w="70" w:type="dxa"/>
          <w:right w:w="70" w:type="dxa"/>
        </w:tblCellMar>
        <w:tblLook w:val="04A0" w:firstRow="1" w:lastRow="0" w:firstColumn="1" w:lastColumn="0" w:noHBand="0" w:noVBand="1"/>
      </w:tblPr>
      <w:tblGrid>
        <w:gridCol w:w="1249"/>
        <w:gridCol w:w="1587"/>
        <w:gridCol w:w="1701"/>
        <w:gridCol w:w="867"/>
        <w:gridCol w:w="1543"/>
        <w:gridCol w:w="1984"/>
      </w:tblGrid>
      <w:tr w:rsidR="00C15468" w:rsidRPr="00C15468" w14:paraId="1501083E" w14:textId="77777777" w:rsidTr="00C15468">
        <w:trPr>
          <w:trHeight w:val="300"/>
          <w:jc w:val="center"/>
        </w:trPr>
        <w:tc>
          <w:tcPr>
            <w:tcW w:w="1249"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18D197F2"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3BBEDEA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247182CB"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31B36776"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Skupina</w:t>
            </w:r>
          </w:p>
        </w:tc>
        <w:tc>
          <w:tcPr>
            <w:tcW w:w="1543" w:type="dxa"/>
            <w:tcBorders>
              <w:top w:val="single" w:sz="4" w:space="0" w:color="auto"/>
              <w:left w:val="nil"/>
              <w:bottom w:val="single" w:sz="4" w:space="0" w:color="auto"/>
              <w:right w:val="single" w:sz="4" w:space="0" w:color="auto"/>
            </w:tcBorders>
            <w:shd w:val="clear" w:color="000000" w:fill="70AD47"/>
            <w:noWrap/>
            <w:vAlign w:val="bottom"/>
            <w:hideMark/>
          </w:tcPr>
          <w:p w14:paraId="4A94D8C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Poslední nález</w:t>
            </w:r>
          </w:p>
        </w:tc>
        <w:tc>
          <w:tcPr>
            <w:tcW w:w="1984" w:type="dxa"/>
            <w:tcBorders>
              <w:top w:val="single" w:sz="4" w:space="0" w:color="auto"/>
              <w:left w:val="nil"/>
              <w:bottom w:val="single" w:sz="4" w:space="0" w:color="auto"/>
              <w:right w:val="single" w:sz="4" w:space="0" w:color="auto"/>
            </w:tcBorders>
            <w:shd w:val="clear" w:color="000000" w:fill="70AD47"/>
            <w:noWrap/>
            <w:vAlign w:val="bottom"/>
            <w:hideMark/>
          </w:tcPr>
          <w:p w14:paraId="4B4E46DA"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Status dle vyhlášky</w:t>
            </w:r>
          </w:p>
        </w:tc>
      </w:tr>
      <w:tr w:rsidR="00CB7CBF" w:rsidRPr="00C15468" w14:paraId="51245D96"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63A5ED57" w14:textId="4F375F2B" w:rsidR="00CB7CBF" w:rsidRPr="00C15468" w:rsidRDefault="00CB7CBF" w:rsidP="00CB7CBF">
            <w:pPr>
              <w:rPr>
                <w:rFonts w:ascii="Calibri" w:hAnsi="Calibri" w:cs="Calibri"/>
                <w:sz w:val="22"/>
                <w:szCs w:val="22"/>
              </w:rPr>
            </w:pPr>
            <w:r>
              <w:rPr>
                <w:rFonts w:ascii="Calibri" w:hAnsi="Calibri" w:cs="Calibri"/>
                <w:sz w:val="22"/>
                <w:szCs w:val="22"/>
              </w:rPr>
              <w:t>1/7</w:t>
            </w:r>
          </w:p>
        </w:tc>
        <w:tc>
          <w:tcPr>
            <w:tcW w:w="1587" w:type="dxa"/>
            <w:tcBorders>
              <w:top w:val="nil"/>
              <w:left w:val="nil"/>
              <w:bottom w:val="single" w:sz="4" w:space="0" w:color="auto"/>
              <w:right w:val="single" w:sz="4" w:space="0" w:color="auto"/>
            </w:tcBorders>
            <w:shd w:val="clear" w:color="auto" w:fill="auto"/>
            <w:noWrap/>
            <w:vAlign w:val="bottom"/>
            <w:hideMark/>
          </w:tcPr>
          <w:p w14:paraId="6F8F12FF"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5ED8AC28"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39516D8C"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03E466BC" w14:textId="4D58E92A" w:rsidR="00CB7CBF" w:rsidRPr="00C15468" w:rsidRDefault="00CB7CBF" w:rsidP="00CB7CBF">
            <w:pPr>
              <w:rPr>
                <w:rFonts w:ascii="Calibri" w:hAnsi="Calibri" w:cs="Calibri"/>
                <w:sz w:val="22"/>
                <w:szCs w:val="22"/>
              </w:rPr>
            </w:pPr>
            <w:r>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6C45E9B9"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silně ohrožený</w:t>
            </w:r>
          </w:p>
        </w:tc>
      </w:tr>
      <w:tr w:rsidR="00CB7CBF" w:rsidRPr="00C15468" w14:paraId="70B06762"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7B27153C" w14:textId="4668CDCD" w:rsidR="00CB7CBF" w:rsidRPr="00C15468" w:rsidRDefault="00CB7CBF" w:rsidP="00CB7CBF">
            <w:pPr>
              <w:rPr>
                <w:rFonts w:ascii="Calibri" w:hAnsi="Calibri" w:cs="Calibri"/>
                <w:sz w:val="22"/>
                <w:szCs w:val="22"/>
              </w:rPr>
            </w:pPr>
            <w:r>
              <w:rPr>
                <w:rFonts w:ascii="Calibri" w:hAnsi="Calibri" w:cs="Calibri"/>
                <w:sz w:val="22"/>
                <w:szCs w:val="22"/>
              </w:rPr>
              <w:t>22/1</w:t>
            </w:r>
          </w:p>
        </w:tc>
        <w:tc>
          <w:tcPr>
            <w:tcW w:w="1587" w:type="dxa"/>
            <w:tcBorders>
              <w:top w:val="nil"/>
              <w:left w:val="nil"/>
              <w:bottom w:val="single" w:sz="4" w:space="0" w:color="auto"/>
              <w:right w:val="single" w:sz="4" w:space="0" w:color="auto"/>
            </w:tcBorders>
            <w:shd w:val="clear" w:color="auto" w:fill="auto"/>
            <w:noWrap/>
            <w:vAlign w:val="bottom"/>
            <w:hideMark/>
          </w:tcPr>
          <w:p w14:paraId="2566A585"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6DE8A991"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1BE201B"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45E26C2C" w14:textId="01CF2ACC" w:rsidR="00CB7CBF" w:rsidRPr="00C15468" w:rsidRDefault="00CB7CBF" w:rsidP="00CB7CBF">
            <w:pPr>
              <w:rPr>
                <w:rFonts w:ascii="Calibri" w:hAnsi="Calibri" w:cs="Calibri"/>
                <w:sz w:val="22"/>
                <w:szCs w:val="22"/>
              </w:rPr>
            </w:pPr>
            <w:r>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1A5CAEF3" w14:textId="77777777" w:rsidR="00CB7CBF" w:rsidRPr="00C15468" w:rsidRDefault="00CB7CBF" w:rsidP="00CB7CBF">
            <w:pPr>
              <w:rPr>
                <w:rFonts w:ascii="Calibri" w:hAnsi="Calibri" w:cs="Calibri"/>
                <w:sz w:val="22"/>
                <w:szCs w:val="22"/>
              </w:rPr>
            </w:pPr>
            <w:r w:rsidRPr="00C15468">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870C00" w:rsidRDefault="00077583" w:rsidP="008D381C">
      <w:pPr>
        <w:pStyle w:val="Odstavecseseznamem"/>
        <w:numPr>
          <w:ilvl w:val="0"/>
          <w:numId w:val="3"/>
        </w:numPr>
        <w:jc w:val="both"/>
        <w:rPr>
          <w:rFonts w:asciiTheme="minorHAnsi" w:hAnsiTheme="minorHAnsi" w:cstheme="minorHAnsi"/>
          <w:b/>
          <w:sz w:val="20"/>
        </w:rPr>
      </w:pPr>
      <w:r w:rsidRPr="00870C00">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870C00">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62F38751"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s</w:t>
      </w:r>
      <w:r w:rsidR="00870C00">
        <w:rPr>
          <w:rFonts w:asciiTheme="minorHAnsi" w:hAnsiTheme="minorHAnsi" w:cstheme="minorHAnsi"/>
          <w:sz w:val="20"/>
          <w:szCs w:val="20"/>
        </w:rPr>
        <w:t> </w:t>
      </w:r>
      <w:r w:rsidR="00B50859" w:rsidRPr="009D445B">
        <w:rPr>
          <w:rFonts w:asciiTheme="minorHAnsi" w:hAnsiTheme="minorHAnsi" w:cstheme="minorHAnsi"/>
          <w:sz w:val="20"/>
          <w:szCs w:val="20"/>
        </w:rPr>
        <w:t>druhou</w:t>
      </w:r>
      <w:r w:rsidR="00870C00">
        <w:rPr>
          <w:rFonts w:asciiTheme="minorHAnsi" w:hAnsiTheme="minorHAnsi" w:cstheme="minorHAnsi"/>
          <w:sz w:val="20"/>
          <w:szCs w:val="20"/>
        </w:rPr>
        <w:t xml:space="preserve">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870C00">
        <w:rPr>
          <w:rFonts w:asciiTheme="minorHAnsi" w:hAnsiTheme="minorHAnsi" w:cstheme="minorHAnsi"/>
          <w:sz w:val="20"/>
          <w:szCs w:val="20"/>
        </w:rPr>
        <w:t xml:space="preserve">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1099D449"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4FD8D6F7"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16955" w14:textId="77777777" w:rsidR="006C439A" w:rsidRDefault="006C439A" w:rsidP="00E71B2F">
      <w:r>
        <w:separator/>
      </w:r>
    </w:p>
  </w:endnote>
  <w:endnote w:type="continuationSeparator" w:id="0">
    <w:p w14:paraId="58F33142" w14:textId="77777777" w:rsidR="006C439A" w:rsidRDefault="006C439A"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C77573" w14:textId="77777777" w:rsidR="006C439A" w:rsidRDefault="006C439A" w:rsidP="00E71B2F">
      <w:r>
        <w:separator/>
      </w:r>
    </w:p>
  </w:footnote>
  <w:footnote w:type="continuationSeparator" w:id="0">
    <w:p w14:paraId="1E579DAA" w14:textId="77777777" w:rsidR="006C439A" w:rsidRDefault="006C439A"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165B0"/>
    <w:rsid w:val="001A2C3E"/>
    <w:rsid w:val="002F0178"/>
    <w:rsid w:val="003021DC"/>
    <w:rsid w:val="00354403"/>
    <w:rsid w:val="003E23F5"/>
    <w:rsid w:val="00432A36"/>
    <w:rsid w:val="00490244"/>
    <w:rsid w:val="004D2AC6"/>
    <w:rsid w:val="004F6E32"/>
    <w:rsid w:val="00503C99"/>
    <w:rsid w:val="0058332D"/>
    <w:rsid w:val="005F1FC9"/>
    <w:rsid w:val="006164D5"/>
    <w:rsid w:val="00621B19"/>
    <w:rsid w:val="00661EA0"/>
    <w:rsid w:val="006B08DD"/>
    <w:rsid w:val="006C439A"/>
    <w:rsid w:val="006E012E"/>
    <w:rsid w:val="00704D12"/>
    <w:rsid w:val="00714693"/>
    <w:rsid w:val="00723DB6"/>
    <w:rsid w:val="00726028"/>
    <w:rsid w:val="0073424B"/>
    <w:rsid w:val="00851BD1"/>
    <w:rsid w:val="00852C58"/>
    <w:rsid w:val="00870C00"/>
    <w:rsid w:val="00882221"/>
    <w:rsid w:val="008C5F54"/>
    <w:rsid w:val="008D381C"/>
    <w:rsid w:val="008F0998"/>
    <w:rsid w:val="00937F94"/>
    <w:rsid w:val="009D445B"/>
    <w:rsid w:val="00A30E9E"/>
    <w:rsid w:val="00A62A7F"/>
    <w:rsid w:val="00AF63FE"/>
    <w:rsid w:val="00B26BB4"/>
    <w:rsid w:val="00B50859"/>
    <w:rsid w:val="00B60AB5"/>
    <w:rsid w:val="00B61516"/>
    <w:rsid w:val="00BE36A4"/>
    <w:rsid w:val="00C115DD"/>
    <w:rsid w:val="00C15468"/>
    <w:rsid w:val="00C176C5"/>
    <w:rsid w:val="00CB7CBF"/>
    <w:rsid w:val="00D361A9"/>
    <w:rsid w:val="00D87A04"/>
    <w:rsid w:val="00DA50E1"/>
    <w:rsid w:val="00DB504C"/>
    <w:rsid w:val="00E15C2E"/>
    <w:rsid w:val="00E3691D"/>
    <w:rsid w:val="00E54322"/>
    <w:rsid w:val="00E71B2F"/>
    <w:rsid w:val="00E90611"/>
    <w:rsid w:val="00EC349B"/>
    <w:rsid w:val="00F77DB4"/>
    <w:rsid w:val="00FC3A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84892">
      <w:bodyDiv w:val="1"/>
      <w:marLeft w:val="0"/>
      <w:marRight w:val="0"/>
      <w:marTop w:val="0"/>
      <w:marBottom w:val="0"/>
      <w:divBdr>
        <w:top w:val="none" w:sz="0" w:space="0" w:color="auto"/>
        <w:left w:val="none" w:sz="0" w:space="0" w:color="auto"/>
        <w:bottom w:val="none" w:sz="0" w:space="0" w:color="auto"/>
        <w:right w:val="none" w:sz="0" w:space="0" w:color="auto"/>
      </w:divBdr>
    </w:div>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876</Words>
  <Characters>5171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2025-03-27T13:18:00Z</dcterms:modified>
</cp:coreProperties>
</file>